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F1B999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 Meeting #</w:t>
      </w:r>
      <w:r w:rsidR="00C91D35">
        <w:rPr>
          <w:rFonts w:ascii="Arial" w:hAnsi="Arial" w:cs="Arial"/>
          <w:b/>
          <w:bCs/>
          <w:sz w:val="22"/>
        </w:rPr>
        <w:t>90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C91D35">
        <w:rPr>
          <w:rFonts w:ascii="Arial" w:hAnsi="Arial" w:cs="Arial"/>
          <w:b/>
          <w:bCs/>
          <w:sz w:val="22"/>
        </w:rPr>
        <w:t>P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20</w:t>
      </w:r>
      <w:r w:rsidR="0058404A">
        <w:rPr>
          <w:rFonts w:ascii="Arial" w:hAnsi="Arial" w:cs="Arial"/>
          <w:b/>
          <w:bCs/>
          <w:sz w:val="22"/>
        </w:rPr>
        <w:t>2866</w:t>
      </w:r>
    </w:p>
    <w:p w14:paraId="619B785A" w14:textId="2207DAAB" w:rsidR="00463675" w:rsidRDefault="00C91D35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>, 0</w:t>
      </w:r>
      <w:r>
        <w:rPr>
          <w:rFonts w:ascii="Arial" w:hAnsi="Arial" w:cs="Arial"/>
          <w:b/>
          <w:bCs/>
          <w:sz w:val="22"/>
        </w:rPr>
        <w:t>7</w:t>
      </w:r>
      <w:r w:rsidR="00343101" w:rsidRPr="00343101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1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</w:t>
      </w:r>
      <w:r w:rsidR="00343101" w:rsidRPr="00343101">
        <w:rPr>
          <w:rFonts w:ascii="Arial" w:hAnsi="Arial" w:cs="Arial"/>
          <w:b/>
          <w:bCs/>
          <w:sz w:val="22"/>
        </w:rPr>
        <w:t xml:space="preserve">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141B4F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91D35">
        <w:rPr>
          <w:rFonts w:ascii="Arial" w:hAnsi="Arial" w:cs="Arial"/>
          <w:bCs/>
        </w:rPr>
        <w:t>BCS reporting and support for intra-band EN-DC band combinations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602BB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91D35">
        <w:rPr>
          <w:rFonts w:ascii="Arial" w:hAnsi="Arial" w:cs="Arial"/>
          <w:bCs/>
        </w:rPr>
        <w:t>5</w:t>
      </w:r>
    </w:p>
    <w:p w14:paraId="6AC83482" w14:textId="42B720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690BD5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</w:t>
      </w:r>
      <w:r w:rsidR="00F23FFC">
        <w:rPr>
          <w:rFonts w:ascii="Arial" w:hAnsi="Arial" w:cs="Arial"/>
          <w:bCs/>
        </w:rPr>
        <w:t>]</w:t>
      </w:r>
    </w:p>
    <w:p w14:paraId="706E9330" w14:textId="68FAED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91D35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C91D35">
        <w:rPr>
          <w:rFonts w:ascii="Arial" w:hAnsi="Arial" w:cs="Arial"/>
          <w:bCs/>
        </w:rPr>
        <w:t>2, TSG 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6054E7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1D35">
        <w:rPr>
          <w:rFonts w:cs="Arial"/>
          <w:b w:val="0"/>
          <w:bCs/>
        </w:rPr>
        <w:t>Tero Henttonen</w:t>
      </w:r>
    </w:p>
    <w:p w14:paraId="2748A78E" w14:textId="0AF4C8A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C91D35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30718CB" w:rsidR="00E7017E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has discussed the topic of BCS reporting of intra-band part of inter-band EN-DC as per the document </w:t>
      </w:r>
      <w:hyperlink r:id="rId13" w:history="1">
        <w:r w:rsidRPr="00286278">
          <w:rPr>
            <w:rStyle w:val="Hyperlink"/>
            <w:rFonts w:ascii="Arial" w:hAnsi="Arial" w:cs="Arial"/>
            <w:lang w:val="en-US"/>
          </w:rPr>
          <w:t>RP-202</w:t>
        </w:r>
        <w:r w:rsidR="00424377" w:rsidRPr="00286278">
          <w:rPr>
            <w:rStyle w:val="Hyperlink"/>
            <w:rFonts w:ascii="Arial" w:hAnsi="Arial" w:cs="Arial"/>
            <w:lang w:val="en-US"/>
          </w:rPr>
          <w:t>805</w:t>
        </w:r>
      </w:hyperlink>
      <w:r>
        <w:rPr>
          <w:rFonts w:ascii="Arial" w:hAnsi="Arial" w:cs="Arial"/>
          <w:lang w:val="en-US"/>
        </w:rPr>
        <w:t xml:space="preserve">, with the resulting discussion being documented in </w:t>
      </w:r>
      <w:hyperlink r:id="rId14" w:history="1">
        <w:r w:rsidRPr="00286278">
          <w:rPr>
            <w:rStyle w:val="Hyperlink"/>
            <w:rFonts w:ascii="Arial" w:hAnsi="Arial" w:cs="Arial"/>
            <w:lang w:val="en-US"/>
          </w:rPr>
          <w:t>RP-20</w:t>
        </w:r>
        <w:r w:rsidR="00180398" w:rsidRPr="00286278">
          <w:rPr>
            <w:rStyle w:val="Hyperlink"/>
            <w:rFonts w:ascii="Arial" w:hAnsi="Arial" w:cs="Arial"/>
            <w:lang w:val="en-US"/>
          </w:rPr>
          <w:t>286</w:t>
        </w:r>
        <w:r w:rsidR="00286278" w:rsidRPr="00286278">
          <w:rPr>
            <w:rStyle w:val="Hyperlink"/>
            <w:rFonts w:ascii="Arial" w:hAnsi="Arial" w:cs="Arial"/>
            <w:lang w:val="en-US"/>
          </w:rPr>
          <w:t>5</w:t>
        </w:r>
      </w:hyperlink>
      <w:r>
        <w:rPr>
          <w:rFonts w:ascii="Arial" w:hAnsi="Arial" w:cs="Arial"/>
          <w:lang w:val="en-US"/>
        </w:rPr>
        <w:t>.</w:t>
      </w:r>
    </w:p>
    <w:p w14:paraId="7D1F95B1" w14:textId="0B7D8965" w:rsidR="00E57BA2" w:rsidRPr="00E7017E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results, RAN has recognized that both RAN2 and RAN4 require some actions to clarify the BCS reporting for band combinations involving intra-band EN-DC parts.</w:t>
      </w:r>
      <w:r w:rsidR="00784E5E">
        <w:rPr>
          <w:rFonts w:ascii="Arial" w:hAnsi="Arial" w:cs="Arial"/>
          <w:lang w:val="en-US"/>
        </w:rPr>
        <w:t xml:space="preserve"> For this reason, RAN would request that, for RAN#91e, the following clarifications are done in RAN2 and RAN4:</w:t>
      </w:r>
    </w:p>
    <w:p w14:paraId="70D9FE48" w14:textId="15E023C1" w:rsidR="00784E5E" w:rsidRPr="00FB27FF" w:rsidRDefault="00784E5E" w:rsidP="00784E5E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  <w:u w:val="single"/>
        </w:rPr>
        <w:t>For RAN4</w:t>
      </w:r>
      <w:r w:rsidRPr="00FB27FF">
        <w:rPr>
          <w:rFonts w:ascii="Arial" w:hAnsi="Arial" w:cs="Arial"/>
          <w:color w:val="000000" w:themeColor="text1"/>
        </w:rPr>
        <w:t>:</w:t>
      </w:r>
    </w:p>
    <w:p w14:paraId="75FD11DB" w14:textId="134CF98F" w:rsidR="00784E5E" w:rsidRPr="00FB27FF" w:rsidRDefault="00784E5E" w:rsidP="00784E5E">
      <w:pPr>
        <w:pStyle w:val="ListParagraph"/>
        <w:numPr>
          <w:ilvl w:val="1"/>
          <w:numId w:val="12"/>
        </w:numPr>
        <w:spacing w:after="0"/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 xml:space="preserve">A) </w:t>
      </w:r>
      <w:r w:rsidR="00C15AC2" w:rsidRPr="00C15AC2">
        <w:rPr>
          <w:rFonts w:ascii="Arial" w:hAnsi="Arial" w:cs="Arial"/>
          <w:color w:val="000000" w:themeColor="text1"/>
        </w:rPr>
        <w:t>Clarify if higher order</w:t>
      </w:r>
      <w:r w:rsidR="00AB468C">
        <w:rPr>
          <w:rFonts w:ascii="Arial" w:hAnsi="Arial" w:cs="Arial"/>
          <w:color w:val="000000" w:themeColor="text1"/>
        </w:rPr>
        <w:t xml:space="preserve"> (i.e. those band combinations which the UE indicates support for explicitly in UE capability signalling)</w:t>
      </w:r>
      <w:r w:rsidR="00C15AC2" w:rsidRPr="00C15AC2">
        <w:rPr>
          <w:rFonts w:ascii="Arial" w:hAnsi="Arial" w:cs="Arial"/>
          <w:color w:val="000000" w:themeColor="text1"/>
        </w:rPr>
        <w:t xml:space="preserve"> EN-DC band combinations with </w:t>
      </w:r>
      <w:r w:rsidR="00BC4432">
        <w:rPr>
          <w:rFonts w:ascii="Arial" w:hAnsi="Arial" w:cs="Arial"/>
          <w:color w:val="000000" w:themeColor="text1"/>
        </w:rPr>
        <w:t>a</w:t>
      </w:r>
      <w:r w:rsidR="00C15AC2" w:rsidRPr="00C15AC2">
        <w:rPr>
          <w:rFonts w:ascii="Arial" w:hAnsi="Arial" w:cs="Arial"/>
          <w:color w:val="000000" w:themeColor="text1"/>
        </w:rPr>
        <w:t xml:space="preserve"> </w:t>
      </w:r>
      <w:r w:rsidR="00AB468C">
        <w:rPr>
          <w:rFonts w:ascii="Arial" w:hAnsi="Arial" w:cs="Arial"/>
          <w:color w:val="000000" w:themeColor="text1"/>
        </w:rPr>
        <w:t>common</w:t>
      </w:r>
      <w:r w:rsidR="00C15AC2" w:rsidRPr="00C15AC2">
        <w:rPr>
          <w:rFonts w:ascii="Arial" w:hAnsi="Arial" w:cs="Arial"/>
          <w:color w:val="000000" w:themeColor="text1"/>
        </w:rPr>
        <w:t xml:space="preserve"> band on the LTE and NR side such as </w:t>
      </w:r>
      <w:r w:rsidR="00180398">
        <w:rPr>
          <w:rFonts w:ascii="Arial" w:hAnsi="Arial" w:cs="Arial"/>
          <w:color w:val="000000" w:themeColor="text1"/>
        </w:rPr>
        <w:t>DC_</w:t>
      </w:r>
      <w:r w:rsidR="00C15AC2" w:rsidRPr="00C15AC2">
        <w:rPr>
          <w:rFonts w:ascii="Arial" w:hAnsi="Arial" w:cs="Arial"/>
          <w:color w:val="000000" w:themeColor="text1"/>
        </w:rPr>
        <w:t xml:space="preserve">2A-7A-7A-66A-n66A and DC_2A-71A_n71A need to report a BCS for intra-band EN-DC (as defined in 38.101-3, section 5.3B.1), even if the UE doesn’t support the intra-band UL configurations DC_66A_n66A or DC_71A_n71A respectively. If the UE does not report </w:t>
      </w:r>
      <w:r w:rsidR="008C09B4">
        <w:rPr>
          <w:rFonts w:ascii="Arial" w:hAnsi="Arial" w:cs="Arial"/>
          <w:color w:val="000000" w:themeColor="text1"/>
        </w:rPr>
        <w:t>the EN-DC</w:t>
      </w:r>
      <w:r w:rsidR="00C15AC2" w:rsidRPr="00C15AC2">
        <w:rPr>
          <w:rFonts w:ascii="Arial" w:hAnsi="Arial" w:cs="Arial"/>
          <w:color w:val="000000" w:themeColor="text1"/>
        </w:rPr>
        <w:t xml:space="preserve"> BCS for such a combination, what can the network assume about the configuration limitations for the </w:t>
      </w:r>
      <w:r w:rsidR="00AB468C">
        <w:rPr>
          <w:rFonts w:ascii="Arial" w:hAnsi="Arial" w:cs="Arial"/>
          <w:color w:val="000000" w:themeColor="text1"/>
        </w:rPr>
        <w:t xml:space="preserve">common </w:t>
      </w:r>
      <w:r w:rsidR="00C15AC2" w:rsidRPr="00C15AC2">
        <w:rPr>
          <w:rFonts w:ascii="Arial" w:hAnsi="Arial" w:cs="Arial"/>
          <w:color w:val="000000" w:themeColor="text1"/>
        </w:rPr>
        <w:t>bands</w:t>
      </w:r>
      <w:r w:rsidR="00AB468C">
        <w:rPr>
          <w:rFonts w:ascii="Arial" w:hAnsi="Arial" w:cs="Arial"/>
          <w:color w:val="000000" w:themeColor="text1"/>
        </w:rPr>
        <w:t xml:space="preserve"> (e.g. LTE band 71 and NR band n71)</w:t>
      </w:r>
      <w:r w:rsidR="00C15AC2" w:rsidRPr="00C15AC2">
        <w:rPr>
          <w:rFonts w:ascii="Arial" w:hAnsi="Arial" w:cs="Arial"/>
          <w:color w:val="000000" w:themeColor="text1"/>
        </w:rPr>
        <w:t xml:space="preserve"> in the combination? </w:t>
      </w:r>
    </w:p>
    <w:p w14:paraId="08A2E896" w14:textId="77777777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 xml:space="preserve">B) Resolve the general question of classification of intra-band EN-DC band combinations according to UL support. If the UE doesn't support UL on intra-band EN-DC part of a band combination, is band combination classified as "intra-band EN-DC band combination"? </w:t>
      </w:r>
    </w:p>
    <w:p w14:paraId="6CC176DD" w14:textId="77777777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>C) Indicate the RAN4 understanding on A) and B) to RAN2 by the end of the first meeting week of RAN4#98e (to allow RAN2 to finalize their work).</w:t>
      </w:r>
    </w:p>
    <w:p w14:paraId="54F9FB36" w14:textId="3E3413FD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>D) Agree</w:t>
      </w:r>
      <w:r w:rsidR="00FB27FF">
        <w:rPr>
          <w:rFonts w:ascii="Arial" w:hAnsi="Arial" w:cs="Arial"/>
          <w:color w:val="000000" w:themeColor="text1"/>
        </w:rPr>
        <w:t xml:space="preserve"> (if necessary)</w:t>
      </w:r>
      <w:r w:rsidRPr="00FB27FF">
        <w:rPr>
          <w:rFonts w:ascii="Arial" w:hAnsi="Arial" w:cs="Arial"/>
          <w:color w:val="000000" w:themeColor="text1"/>
        </w:rPr>
        <w:t xml:space="preserve"> CRs taking the conclusions of A) and B) into account.</w:t>
      </w:r>
    </w:p>
    <w:p w14:paraId="15273B6F" w14:textId="77777777" w:rsidR="00784E5E" w:rsidRPr="00FB27FF" w:rsidRDefault="00784E5E" w:rsidP="00784E5E">
      <w:pPr>
        <w:pStyle w:val="ListParagraph"/>
        <w:rPr>
          <w:rFonts w:ascii="Arial" w:hAnsi="Arial" w:cs="Arial"/>
          <w:color w:val="000000" w:themeColor="text1"/>
        </w:rPr>
      </w:pPr>
    </w:p>
    <w:p w14:paraId="1D1FCB9F" w14:textId="23F5D542" w:rsidR="00784E5E" w:rsidRPr="00FB27FF" w:rsidRDefault="00784E5E" w:rsidP="00784E5E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 w:themeColor="text1"/>
          <w:u w:val="single"/>
        </w:rPr>
      </w:pPr>
      <w:r w:rsidRPr="00FB27FF">
        <w:rPr>
          <w:rFonts w:ascii="Arial" w:hAnsi="Arial" w:cs="Arial"/>
          <w:color w:val="000000" w:themeColor="text1"/>
          <w:u w:val="single"/>
        </w:rPr>
        <w:t>For RAN2:</w:t>
      </w:r>
    </w:p>
    <w:p w14:paraId="310C0EE2" w14:textId="3511833F" w:rsidR="00784E5E" w:rsidRPr="00FB27FF" w:rsidRDefault="00C15AC2" w:rsidP="00784E5E">
      <w:pPr>
        <w:pStyle w:val="ListParagraph"/>
        <w:numPr>
          <w:ilvl w:val="1"/>
          <w:numId w:val="12"/>
        </w:num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784E5E" w:rsidRPr="00FB27FF">
        <w:rPr>
          <w:rFonts w:ascii="Arial" w:hAnsi="Arial" w:cs="Arial"/>
          <w:color w:val="000000" w:themeColor="text1"/>
        </w:rPr>
        <w:t xml:space="preserve">) Clarify based on RAN4 feedback to A) and B), the usage of "intra-band EN-DC combinations with inter-band components" (A) and "intra-band EN-DC" (B) in </w:t>
      </w:r>
      <w:r w:rsidR="00FB27FF">
        <w:rPr>
          <w:rFonts w:ascii="Arial" w:hAnsi="Arial" w:cs="Arial"/>
          <w:color w:val="000000" w:themeColor="text1"/>
        </w:rPr>
        <w:t xml:space="preserve">RAN2 </w:t>
      </w:r>
      <w:r w:rsidR="00784E5E" w:rsidRPr="00FB27FF">
        <w:rPr>
          <w:rFonts w:ascii="Arial" w:hAnsi="Arial" w:cs="Arial"/>
          <w:color w:val="000000" w:themeColor="text1"/>
        </w:rPr>
        <w:t>specifications.</w:t>
      </w:r>
    </w:p>
    <w:p w14:paraId="36A3BE0F" w14:textId="58BE6DED" w:rsidR="00784E5E" w:rsidRPr="00FB27FF" w:rsidRDefault="00C15AC2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784E5E" w:rsidRPr="00FB27FF">
        <w:rPr>
          <w:rFonts w:ascii="Arial" w:hAnsi="Arial" w:cs="Arial"/>
          <w:color w:val="000000" w:themeColor="text1"/>
        </w:rPr>
        <w:t>) Agree</w:t>
      </w:r>
      <w:r w:rsidR="00FB27FF">
        <w:rPr>
          <w:rFonts w:ascii="Arial" w:hAnsi="Arial" w:cs="Arial"/>
          <w:color w:val="000000" w:themeColor="text1"/>
        </w:rPr>
        <w:t xml:space="preserve"> (if necessary)</w:t>
      </w:r>
      <w:r w:rsidR="00784E5E" w:rsidRPr="00FB27FF">
        <w:rPr>
          <w:rFonts w:ascii="Arial" w:hAnsi="Arial" w:cs="Arial"/>
          <w:color w:val="000000" w:themeColor="text1"/>
        </w:rPr>
        <w:t xml:space="preserve"> CRs taking the conclusions of A), B)</w:t>
      </w:r>
      <w:r w:rsidR="0058404A">
        <w:rPr>
          <w:rFonts w:ascii="Arial" w:hAnsi="Arial" w:cs="Arial"/>
          <w:color w:val="000000" w:themeColor="text1"/>
        </w:rPr>
        <w:t xml:space="preserve"> and</w:t>
      </w:r>
      <w:r w:rsidR="00784E5E" w:rsidRPr="00FB27FF">
        <w:rPr>
          <w:rFonts w:ascii="Arial" w:hAnsi="Arial" w:cs="Arial"/>
          <w:color w:val="000000" w:themeColor="text1"/>
        </w:rPr>
        <w:t xml:space="preserve"> 1) into account.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0D896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1D35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 xml:space="preserve"> group.</w:t>
      </w:r>
    </w:p>
    <w:p w14:paraId="61BB3C70" w14:textId="42FC7B3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 respectfully </w:t>
      </w:r>
      <w:r w:rsidR="00C91D3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784E5E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58404A">
        <w:rPr>
          <w:rFonts w:ascii="Arial" w:hAnsi="Arial" w:cs="Arial"/>
        </w:rPr>
        <w:t xml:space="preserve"> complete the following for RAN#91e:</w:t>
      </w:r>
    </w:p>
    <w:p w14:paraId="6CD056A6" w14:textId="4A18007C" w:rsidR="0052585B" w:rsidRPr="00FB27FF" w:rsidRDefault="0052585B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A)</w:t>
      </w:r>
      <w:r>
        <w:rPr>
          <w:rFonts w:ascii="Arial" w:hAnsi="Arial" w:cs="Arial"/>
          <w:color w:val="000000" w:themeColor="text1"/>
        </w:rPr>
        <w:tab/>
      </w:r>
      <w:r w:rsidRPr="00C15AC2">
        <w:rPr>
          <w:rFonts w:ascii="Arial" w:hAnsi="Arial" w:cs="Arial"/>
          <w:color w:val="000000" w:themeColor="text1"/>
        </w:rPr>
        <w:t>Clarify if higher order</w:t>
      </w:r>
      <w:r>
        <w:rPr>
          <w:rFonts w:ascii="Arial" w:hAnsi="Arial" w:cs="Arial"/>
          <w:color w:val="000000" w:themeColor="text1"/>
        </w:rPr>
        <w:t xml:space="preserve"> (i.e. those band combinations which the UE indicates support for explicitly in UE capability signalling)</w:t>
      </w:r>
      <w:r w:rsidRPr="00C15AC2">
        <w:rPr>
          <w:rFonts w:ascii="Arial" w:hAnsi="Arial" w:cs="Arial"/>
          <w:color w:val="000000" w:themeColor="text1"/>
        </w:rPr>
        <w:t xml:space="preserve"> EN-DC band combinations with </w:t>
      </w:r>
      <w:r w:rsidR="00BC4432">
        <w:rPr>
          <w:rFonts w:ascii="Arial" w:hAnsi="Arial" w:cs="Arial"/>
          <w:color w:val="000000" w:themeColor="text1"/>
        </w:rPr>
        <w:t>a</w:t>
      </w:r>
      <w:bookmarkStart w:id="0" w:name="_GoBack"/>
      <w:bookmarkEnd w:id="0"/>
      <w:r w:rsidRPr="00C15AC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common</w:t>
      </w:r>
      <w:r w:rsidRPr="00C15AC2">
        <w:rPr>
          <w:rFonts w:ascii="Arial" w:hAnsi="Arial" w:cs="Arial"/>
          <w:color w:val="000000" w:themeColor="text1"/>
        </w:rPr>
        <w:t xml:space="preserve"> band on the LTE and NR side such as </w:t>
      </w:r>
      <w:r>
        <w:rPr>
          <w:rFonts w:ascii="Arial" w:hAnsi="Arial" w:cs="Arial"/>
          <w:color w:val="000000" w:themeColor="text1"/>
        </w:rPr>
        <w:t>DC_</w:t>
      </w:r>
      <w:r w:rsidRPr="00C15AC2">
        <w:rPr>
          <w:rFonts w:ascii="Arial" w:hAnsi="Arial" w:cs="Arial"/>
          <w:color w:val="000000" w:themeColor="text1"/>
        </w:rPr>
        <w:t>2A-7A-7A-66A-n66A and DC_2A-71A_n71A need to report a BCS for intra-band EN-</w:t>
      </w:r>
      <w:r w:rsidRPr="00C15AC2">
        <w:rPr>
          <w:rFonts w:ascii="Arial" w:hAnsi="Arial" w:cs="Arial"/>
          <w:color w:val="000000" w:themeColor="text1"/>
        </w:rPr>
        <w:lastRenderedPageBreak/>
        <w:t xml:space="preserve">DC (as defined in 38.101-3, section 5.3B.1), even if the UE doesn’t support the intra-band UL configurations DC_66A_n66A or DC_71A_n71A respectively. If the UE does not report </w:t>
      </w:r>
      <w:r>
        <w:rPr>
          <w:rFonts w:ascii="Arial" w:hAnsi="Arial" w:cs="Arial"/>
          <w:color w:val="000000" w:themeColor="text1"/>
        </w:rPr>
        <w:t>the EN-DC</w:t>
      </w:r>
      <w:r w:rsidRPr="00C15AC2">
        <w:rPr>
          <w:rFonts w:ascii="Arial" w:hAnsi="Arial" w:cs="Arial"/>
          <w:color w:val="000000" w:themeColor="text1"/>
        </w:rPr>
        <w:t xml:space="preserve"> BCS for such a combination, what can the network assume about the configuration limitations for the </w:t>
      </w:r>
      <w:r>
        <w:rPr>
          <w:rFonts w:ascii="Arial" w:hAnsi="Arial" w:cs="Arial"/>
          <w:color w:val="000000" w:themeColor="text1"/>
        </w:rPr>
        <w:t xml:space="preserve">common </w:t>
      </w:r>
      <w:r w:rsidRPr="00C15AC2">
        <w:rPr>
          <w:rFonts w:ascii="Arial" w:hAnsi="Arial" w:cs="Arial"/>
          <w:color w:val="000000" w:themeColor="text1"/>
        </w:rPr>
        <w:t>bands</w:t>
      </w:r>
      <w:r>
        <w:rPr>
          <w:rFonts w:ascii="Arial" w:hAnsi="Arial" w:cs="Arial"/>
          <w:color w:val="000000" w:themeColor="text1"/>
        </w:rPr>
        <w:t xml:space="preserve"> (e.g. LTE band 71 and NR band n71)</w:t>
      </w:r>
      <w:r w:rsidRPr="00C15AC2">
        <w:rPr>
          <w:rFonts w:ascii="Arial" w:hAnsi="Arial" w:cs="Arial"/>
          <w:color w:val="000000" w:themeColor="text1"/>
        </w:rPr>
        <w:t xml:space="preserve"> in the combination?</w:t>
      </w:r>
    </w:p>
    <w:p w14:paraId="5CCADCAB" w14:textId="789AC940" w:rsidR="00FB27FF" w:rsidRP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>B)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 xml:space="preserve">Resolve the general question of classification of intra-band EN-DC band combinations according to UL support. If the UE doesn't support UL on intra-band EN-DC part of a band combination, is band combination classified as "intra-band EN-DC band combination"? </w:t>
      </w:r>
    </w:p>
    <w:p w14:paraId="6D807B2A" w14:textId="678DC5A6" w:rsidR="00FB27FF" w:rsidRP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>Indicate the RAN4 understanding on A) and B) to RAN2 by the end of the first meeting week of RAN4#98e (to allow RAN2 to finalize their work).</w:t>
      </w:r>
    </w:p>
    <w:p w14:paraId="0B02F39F" w14:textId="02673F0D" w:rsid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>Agree to necessary CRs taking the conclusions of A) and B) into account.</w:t>
      </w:r>
    </w:p>
    <w:p w14:paraId="4DEA8826" w14:textId="77777777" w:rsidR="00FB27FF" w:rsidRDefault="00FB27FF" w:rsidP="00FB27FF">
      <w:pPr>
        <w:spacing w:after="120"/>
        <w:ind w:left="993" w:hanging="993"/>
        <w:rPr>
          <w:rFonts w:ascii="Arial" w:hAnsi="Arial" w:cs="Arial"/>
        </w:rPr>
      </w:pPr>
    </w:p>
    <w:p w14:paraId="4428FA44" w14:textId="2E8A1DA5" w:rsidR="00C91D35" w:rsidRDefault="00C91D35" w:rsidP="00C91D3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 WG2 group.</w:t>
      </w:r>
    </w:p>
    <w:p w14:paraId="288AAE8E" w14:textId="5D408D91" w:rsidR="00FB27FF" w:rsidRDefault="00C91D35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requests</w:t>
      </w:r>
      <w:r w:rsidR="00784E5E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to</w:t>
      </w:r>
      <w:r w:rsidR="0058404A" w:rsidRPr="0058404A">
        <w:rPr>
          <w:rFonts w:ascii="Arial" w:hAnsi="Arial" w:cs="Arial"/>
        </w:rPr>
        <w:t xml:space="preserve"> </w:t>
      </w:r>
      <w:r w:rsidR="0058404A">
        <w:rPr>
          <w:rFonts w:ascii="Arial" w:hAnsi="Arial" w:cs="Arial"/>
        </w:rPr>
        <w:t>complete the following for RAN#91e:</w:t>
      </w:r>
    </w:p>
    <w:p w14:paraId="5FD603ED" w14:textId="4F2C09A5" w:rsidR="00FB27FF" w:rsidRPr="00FB27FF" w:rsidRDefault="00582B31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27FF" w:rsidRPr="00FB27FF">
        <w:rPr>
          <w:rFonts w:ascii="Arial" w:hAnsi="Arial" w:cs="Arial"/>
        </w:rPr>
        <w:t xml:space="preserve">) </w:t>
      </w:r>
      <w:r w:rsidR="00FB27FF">
        <w:rPr>
          <w:rFonts w:ascii="Arial" w:hAnsi="Arial" w:cs="Arial"/>
        </w:rPr>
        <w:tab/>
      </w:r>
      <w:r w:rsidR="00FB27FF" w:rsidRPr="00FB27FF">
        <w:rPr>
          <w:rFonts w:ascii="Arial" w:hAnsi="Arial" w:cs="Arial"/>
        </w:rPr>
        <w:t>Clarify (if necessary), based on RAN4 feedback to A) and B), the usage of "intra-band EN-DC combinations with inter-band components" (A) and "intra-band EN-DC" (B) in their specifications.</w:t>
      </w:r>
    </w:p>
    <w:p w14:paraId="28006485" w14:textId="29359F62" w:rsidR="00784E5E" w:rsidRDefault="00C15AC2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B27FF" w:rsidRPr="00FB27FF">
        <w:rPr>
          <w:rFonts w:ascii="Arial" w:hAnsi="Arial" w:cs="Arial"/>
        </w:rPr>
        <w:t xml:space="preserve">) </w:t>
      </w:r>
      <w:r w:rsidR="00FB27FF">
        <w:rPr>
          <w:rFonts w:ascii="Arial" w:hAnsi="Arial" w:cs="Arial"/>
        </w:rPr>
        <w:tab/>
      </w:r>
      <w:r w:rsidR="00FB27FF" w:rsidRPr="00FB27FF">
        <w:rPr>
          <w:rFonts w:ascii="Arial" w:hAnsi="Arial" w:cs="Arial"/>
        </w:rPr>
        <w:t>Agree to necessary CRs taking the conclusions of A), B)</w:t>
      </w:r>
      <w:r w:rsidR="0058404A">
        <w:rPr>
          <w:rFonts w:ascii="Arial" w:hAnsi="Arial" w:cs="Arial"/>
        </w:rPr>
        <w:t xml:space="preserve"> and</w:t>
      </w:r>
      <w:r w:rsidR="00FB27FF" w:rsidRPr="00FB27FF">
        <w:rPr>
          <w:rFonts w:ascii="Arial" w:hAnsi="Arial" w:cs="Arial"/>
        </w:rPr>
        <w:t xml:space="preserve"> 1)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025202F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</w:t>
      </w:r>
      <w:r w:rsidR="00C91D35">
        <w:rPr>
          <w:rFonts w:ascii="Arial" w:hAnsi="Arial" w:cs="Arial"/>
          <w:bCs/>
        </w:rPr>
        <w:t>91e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</w:rPr>
        <w:t>2</w:t>
      </w:r>
      <w:r w:rsidR="0010035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C91D35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="00C91D3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91D3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C1BC6" w14:textId="77777777" w:rsidR="00184751" w:rsidRDefault="00184751">
      <w:r>
        <w:separator/>
      </w:r>
    </w:p>
  </w:endnote>
  <w:endnote w:type="continuationSeparator" w:id="0">
    <w:p w14:paraId="7C3CE375" w14:textId="77777777" w:rsidR="00184751" w:rsidRDefault="00184751">
      <w:r>
        <w:continuationSeparator/>
      </w:r>
    </w:p>
  </w:endnote>
  <w:endnote w:type="continuationNotice" w:id="1">
    <w:p w14:paraId="565C5C89" w14:textId="77777777" w:rsidR="00184751" w:rsidRDefault="001847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58D7F" w14:textId="77777777" w:rsidR="00184751" w:rsidRDefault="00184751">
      <w:r>
        <w:separator/>
      </w:r>
    </w:p>
  </w:footnote>
  <w:footnote w:type="continuationSeparator" w:id="0">
    <w:p w14:paraId="248C51C6" w14:textId="77777777" w:rsidR="00184751" w:rsidRDefault="00184751">
      <w:r>
        <w:continuationSeparator/>
      </w:r>
    </w:p>
  </w:footnote>
  <w:footnote w:type="continuationNotice" w:id="1">
    <w:p w14:paraId="7E766DB9" w14:textId="77777777" w:rsidR="00184751" w:rsidRDefault="001847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A33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80398"/>
    <w:rsid w:val="00184751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21E4"/>
    <w:rsid w:val="0027716B"/>
    <w:rsid w:val="00282B21"/>
    <w:rsid w:val="00282DA9"/>
    <w:rsid w:val="00283A52"/>
    <w:rsid w:val="00286278"/>
    <w:rsid w:val="00287824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478E3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3322"/>
    <w:rsid w:val="003C3065"/>
    <w:rsid w:val="003C44A3"/>
    <w:rsid w:val="003E0EE0"/>
    <w:rsid w:val="004120BA"/>
    <w:rsid w:val="004147C2"/>
    <w:rsid w:val="00417F6D"/>
    <w:rsid w:val="00424377"/>
    <w:rsid w:val="00437F70"/>
    <w:rsid w:val="00452B0D"/>
    <w:rsid w:val="00463675"/>
    <w:rsid w:val="00496D50"/>
    <w:rsid w:val="004A03EC"/>
    <w:rsid w:val="004C6071"/>
    <w:rsid w:val="004D1605"/>
    <w:rsid w:val="004E2356"/>
    <w:rsid w:val="004E5F0E"/>
    <w:rsid w:val="004F3AA9"/>
    <w:rsid w:val="0050174F"/>
    <w:rsid w:val="00501F64"/>
    <w:rsid w:val="00505F59"/>
    <w:rsid w:val="0052585B"/>
    <w:rsid w:val="00557D6F"/>
    <w:rsid w:val="0058264E"/>
    <w:rsid w:val="00582B31"/>
    <w:rsid w:val="0058337B"/>
    <w:rsid w:val="0058404A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0037"/>
    <w:rsid w:val="006B2129"/>
    <w:rsid w:val="006D1114"/>
    <w:rsid w:val="006F7688"/>
    <w:rsid w:val="00701A2B"/>
    <w:rsid w:val="007261FF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F3A"/>
    <w:rsid w:val="00876787"/>
    <w:rsid w:val="00881F64"/>
    <w:rsid w:val="008831D9"/>
    <w:rsid w:val="00883DB4"/>
    <w:rsid w:val="00892B0D"/>
    <w:rsid w:val="008C09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7EB5"/>
    <w:rsid w:val="00A40236"/>
    <w:rsid w:val="00A45BD7"/>
    <w:rsid w:val="00A56D45"/>
    <w:rsid w:val="00A6412A"/>
    <w:rsid w:val="00A64F79"/>
    <w:rsid w:val="00A8524C"/>
    <w:rsid w:val="00A87B43"/>
    <w:rsid w:val="00AA637B"/>
    <w:rsid w:val="00AB468C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C4432"/>
    <w:rsid w:val="00BC7408"/>
    <w:rsid w:val="00BD604A"/>
    <w:rsid w:val="00BE1F84"/>
    <w:rsid w:val="00BE7CC9"/>
    <w:rsid w:val="00BF32CE"/>
    <w:rsid w:val="00C021DE"/>
    <w:rsid w:val="00C0661A"/>
    <w:rsid w:val="00C13B0A"/>
    <w:rsid w:val="00C15AC2"/>
    <w:rsid w:val="00C231ED"/>
    <w:rsid w:val="00C2354D"/>
    <w:rsid w:val="00C51C0C"/>
    <w:rsid w:val="00C52AEB"/>
    <w:rsid w:val="00C750D8"/>
    <w:rsid w:val="00C91D35"/>
    <w:rsid w:val="00C924DB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084A"/>
    <w:rsid w:val="00F32CDF"/>
    <w:rsid w:val="00F54C66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4E5E"/>
    <w:pPr>
      <w:spacing w:after="180" w:line="276" w:lineRule="auto"/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28627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6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B468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68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90e/Docs/RP-202805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90e/Docs/RP-2028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4246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Nokia, Nokia Shanghai Bell</cp:lastModifiedBy>
  <cp:revision>4</cp:revision>
  <cp:lastPrinted>2002-04-23T00:10:00Z</cp:lastPrinted>
  <dcterms:created xsi:type="dcterms:W3CDTF">2020-12-11T11:38:00Z</dcterms:created>
  <dcterms:modified xsi:type="dcterms:W3CDTF">2020-12-11T11:47:00Z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